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光准圆_CNKI" w:hAnsi="华光准圆_CNKI" w:eastAsia="华光准圆_CNKI" w:cs="华光准圆_CNKI"/>
          <w:sz w:val="32"/>
          <w:szCs w:val="32"/>
        </w:rPr>
      </w:pPr>
      <w:r>
        <w:rPr>
          <w:rFonts w:hint="eastAsia" w:ascii="华光准圆_CNKI" w:hAnsi="华光准圆_CNKI" w:eastAsia="华光准圆_CNKI" w:cs="华光准圆_CNKI"/>
          <w:sz w:val="32"/>
          <w:szCs w:val="32"/>
        </w:rPr>
        <w:t>2024年度四川休闲体育产业发展研究中心课题</w:t>
      </w:r>
      <w:bookmarkStart w:id="0" w:name="_GoBack"/>
      <w:bookmarkEnd w:id="0"/>
      <w:r>
        <w:rPr>
          <w:rFonts w:hint="eastAsia" w:ascii="华光准圆_CNKI" w:hAnsi="华光准圆_CNKI" w:eastAsia="华光准圆_CNKI" w:cs="华光准圆_CNKI"/>
          <w:sz w:val="32"/>
          <w:szCs w:val="32"/>
        </w:rPr>
        <w:t>选题指南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1.习近平文化思想与体育休闲与旅游的学科体系、学术体系、话语体系建设研究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2.中国式现代化背景下，休闲体育产业发展趋势研究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3.休闲体育产业高质量发展的效益与竞争力研究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4.社会老龄化发展趋势下休闲体育产业的机遇与挑战研究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5.老年居民休闲体育需求与供给研究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6.融合创新休闲体育消费场景与模式研究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7.成都市休闲体育资源与共享路径研究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8.四川省户外运动产业“文体旅”融合发展研究</w:t>
      </w:r>
    </w:p>
    <w:p>
      <w:pPr>
        <w:spacing w:line="360" w:lineRule="auto"/>
        <w:rPr>
          <w:rFonts w:asciiTheme="minorEastAsia" w:hAnsiTheme="minorEastAsia" w:cstheme="minorEastAsia"/>
          <w:color w:val="0000FF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.高品质户外运动产品和服务供给研究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8"/>
          <w:szCs w:val="28"/>
        </w:rPr>
        <w:t>.体教融合背景下，青少年体育赛事的市场化机制研究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.休闲体育产业促进体育消费研究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.休闲体育产业助力乡村振兴研究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.成都休闲体育空间发展路径与改造策略研究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.休闲体育对扩大内需的贡献度与策略研究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.传统休闲体育文化的价值旨向及现代启示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8"/>
          <w:szCs w:val="28"/>
        </w:rPr>
        <w:t>.大型运动会对成都地区休闲体育的影响与启示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cstheme="minorEastAsia"/>
          <w:sz w:val="28"/>
          <w:szCs w:val="28"/>
        </w:rPr>
        <w:t>.成都休闲体育产业与青年就业创业政策协同研究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cstheme="minorEastAsia"/>
          <w:sz w:val="28"/>
          <w:szCs w:val="28"/>
        </w:rPr>
        <w:t>.基于大数据与人工智能的休闲体育消费者行为分析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cstheme="minorEastAsia"/>
          <w:sz w:val="28"/>
          <w:szCs w:val="28"/>
        </w:rPr>
        <w:t>.人工智能技术对休闲体育产业的影响与对策研究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8"/>
          <w:szCs w:val="28"/>
        </w:rPr>
        <w:t>.新质生产力与休闲体育产业高质量发展研究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.休闲体育对传统产业的创新驱动研究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.大众体育休闲新需求与业态创新研究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.休闲体育与革命老区文化遗产保护传承研究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.城市体育休闲消费监测体系研究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.社会资本参与休闲体育多元市场主体培育研究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8"/>
          <w:szCs w:val="28"/>
        </w:rPr>
        <w:t>.大熊猫国家公园入口社区体育游憩产业发展研究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cstheme="minorEastAsia"/>
          <w:sz w:val="28"/>
          <w:szCs w:val="28"/>
        </w:rPr>
        <w:t>.城市商场综合体休闲体育产业发展研究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cstheme="minorEastAsia"/>
          <w:sz w:val="28"/>
          <w:szCs w:val="28"/>
        </w:rPr>
        <w:t>.四川冰雪产业高质量发展的推进策略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MjkzYTI5ZTE1YjlhOWY5NzAwNzdhZGZkNDIyNGYifQ=="/>
  </w:docVars>
  <w:rsids>
    <w:rsidRoot w:val="25AA2CF5"/>
    <w:rsid w:val="00364E61"/>
    <w:rsid w:val="00744C61"/>
    <w:rsid w:val="0086043E"/>
    <w:rsid w:val="00B20FC3"/>
    <w:rsid w:val="00CE0ACC"/>
    <w:rsid w:val="00F11AB2"/>
    <w:rsid w:val="08AC7BA4"/>
    <w:rsid w:val="0ACD717D"/>
    <w:rsid w:val="19D02E4F"/>
    <w:rsid w:val="25AA2CF5"/>
    <w:rsid w:val="34A037C3"/>
    <w:rsid w:val="459579C5"/>
    <w:rsid w:val="657B1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qFormat/>
    <w:uiPriority w:val="0"/>
    <w:pPr>
      <w:jc w:val="left"/>
    </w:pPr>
  </w:style>
  <w:style w:type="paragraph" w:styleId="3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qFormat/>
    <w:uiPriority w:val="0"/>
    <w:rPr>
      <w:b/>
      <w:bCs/>
    </w:rPr>
  </w:style>
  <w:style w:type="character" w:styleId="9">
    <w:name w:val="annotation reference"/>
    <w:basedOn w:val="8"/>
    <w:autoRedefine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autoRedefine/>
    <w:qFormat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autoRedefine/>
    <w:qFormat/>
    <w:uiPriority w:val="0"/>
    <w:rPr>
      <w:b/>
      <w:bCs/>
    </w:rPr>
  </w:style>
  <w:style w:type="character" w:customStyle="1" w:styleId="14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615</Characters>
  <Lines>5</Lines>
  <Paragraphs>1</Paragraphs>
  <TotalTime>13</TotalTime>
  <ScaleCrop>false</ScaleCrop>
  <LinksUpToDate>false</LinksUpToDate>
  <CharactersWithSpaces>721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2024-03-08T02:27:00Z</dcterms:created>
  <dc:creator>小雨飞飞</dc:creator>
  <cp:lastModifiedBy>小雨飞飞</cp:lastModifiedBy>
  <cp:lastPrinted>2024-02-26T01:49:00Z</cp:lastPrinted>
  <dcterms:modified xsi:type="dcterms:W3CDTF">2024-03-11T11:37:37Z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86A423D0B2064EC59DA0CCD22D4B8EF8_13</vt:lpwstr>
  </property>
</Properties>
</file>